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E1888B" w14:textId="447FC4E5" w:rsidR="00743845" w:rsidRPr="00743845" w:rsidRDefault="00743845" w:rsidP="00743845">
      <w:pPr>
        <w:rPr>
          <w:b/>
          <w:bCs/>
        </w:rPr>
      </w:pPr>
      <w:r w:rsidRPr="00743845">
        <w:rPr>
          <w:b/>
          <w:bCs/>
        </w:rPr>
        <w:t>Алексеев С.О., Зенин О.И., Байдерин А.О., Стамов Р.А., Плужников Е.А., Антонов Е.А., Кузьмин С.К.</w:t>
      </w:r>
    </w:p>
    <w:p w14:paraId="361C445C" w14:textId="439A9236" w:rsidR="00743845" w:rsidRPr="00743845" w:rsidRDefault="00042F66" w:rsidP="00743845">
      <w:pPr>
        <w:rPr>
          <w:b/>
          <w:bCs/>
        </w:rPr>
      </w:pPr>
      <w:r>
        <w:rPr>
          <w:b/>
          <w:bCs/>
        </w:rPr>
        <w:t>«</w:t>
      </w:r>
      <w:r w:rsidR="00743845" w:rsidRPr="00743845">
        <w:rPr>
          <w:b/>
          <w:bCs/>
        </w:rPr>
        <w:t>Астрономические и теоретико-физические методы проверки расширений</w:t>
      </w:r>
      <w:r w:rsidR="00743845" w:rsidRPr="00743845">
        <w:rPr>
          <w:b/>
          <w:bCs/>
        </w:rPr>
        <w:t xml:space="preserve"> </w:t>
      </w:r>
      <w:r w:rsidR="00743845" w:rsidRPr="00743845">
        <w:rPr>
          <w:b/>
          <w:bCs/>
        </w:rPr>
        <w:t>общей теории относительности</w:t>
      </w:r>
      <w:r w:rsidR="00743845">
        <w:rPr>
          <w:b/>
          <w:bCs/>
        </w:rPr>
        <w:t>»</w:t>
      </w:r>
    </w:p>
    <w:p w14:paraId="2FEB2F0E" w14:textId="26105C34" w:rsidR="00743845" w:rsidRDefault="00743845" w:rsidP="00743845">
      <w:r>
        <w:t>Доклад включает как результаты исследования теней черных дыр,</w:t>
      </w:r>
      <w:r>
        <w:t xml:space="preserve"> </w:t>
      </w:r>
      <w:r>
        <w:t>вошедшие, на основании решения Ученого совета МГУ, в отчет МГУ, так и</w:t>
      </w:r>
      <w:r>
        <w:t xml:space="preserve"> </w:t>
      </w:r>
      <w:r>
        <w:t>новые результаты, включая как сочетание отскока, генезиса и инфляции</w:t>
      </w:r>
      <w:r>
        <w:t xml:space="preserve"> </w:t>
      </w:r>
      <w:r>
        <w:t>в скалярно-тензорных теориях гравитации, так возможность генерации</w:t>
      </w:r>
      <w:r>
        <w:t xml:space="preserve"> </w:t>
      </w:r>
      <w:r>
        <w:t>скалярно-тензорной гравитации из теории струн в результате</w:t>
      </w:r>
      <w:r>
        <w:t xml:space="preserve"> </w:t>
      </w:r>
      <w:r>
        <w:t>спонтанного нарушения симметрии в ранней Вселенной.</w:t>
      </w:r>
    </w:p>
    <w:p w14:paraId="524D3955" w14:textId="040B06A6" w:rsidR="00042F66" w:rsidRDefault="00042F66"/>
    <w:p w14:paraId="46482794" w14:textId="77777777" w:rsidR="007C2B98" w:rsidRDefault="007C2B98">
      <w:pPr>
        <w:rPr>
          <w:b/>
          <w:bCs/>
        </w:rPr>
      </w:pPr>
      <w:r>
        <w:rPr>
          <w:b/>
          <w:bCs/>
        </w:rPr>
        <w:br w:type="page"/>
      </w:r>
    </w:p>
    <w:p w14:paraId="1BA5348A" w14:textId="03A6EB66" w:rsidR="00743845" w:rsidRDefault="00743845" w:rsidP="00042F66">
      <w:pPr>
        <w:rPr>
          <w:b/>
          <w:bCs/>
        </w:rPr>
      </w:pPr>
      <w:r w:rsidRPr="00743845">
        <w:rPr>
          <w:b/>
          <w:bCs/>
        </w:rPr>
        <w:lastRenderedPageBreak/>
        <w:t>Зимовец И.В. (ИКИ РАН), Низамов Б.А. (ГАИШ МГУ, ИКИ РАН), Шарыкин И.Н. (ИКИ РАН), Ган В.Ч. (Обсерватория Цзыцзиньшань, Китай)</w:t>
      </w:r>
    </w:p>
    <w:p w14:paraId="276F2ACF" w14:textId="47EA9845" w:rsidR="00042F66" w:rsidRPr="00042F66" w:rsidRDefault="00042F66" w:rsidP="00042F66">
      <w:pPr>
        <w:rPr>
          <w:b/>
          <w:bCs/>
        </w:rPr>
      </w:pPr>
      <w:r>
        <w:rPr>
          <w:b/>
          <w:bCs/>
        </w:rPr>
        <w:t>«</w:t>
      </w:r>
      <w:r w:rsidR="00743845" w:rsidRPr="00743845">
        <w:rPr>
          <w:b/>
          <w:bCs/>
        </w:rPr>
        <w:t>Наблюдения рентгеновских предвестников мощной солнечной вспышки: выброс магнитного жгута вследствие квазипеприодического перезамыкания</w:t>
      </w:r>
      <w:r>
        <w:rPr>
          <w:b/>
          <w:bCs/>
        </w:rPr>
        <w:t>»</w:t>
      </w:r>
    </w:p>
    <w:p w14:paraId="6BD8F92A" w14:textId="3949AB80" w:rsidR="00743845" w:rsidRDefault="00743845" w:rsidP="00743845">
      <w:r>
        <w:t>Солнечные вспышки нередко сопровождаются предвестниками, т.е. явлениями, происходящими незадолго до самой вспышки (порядка единиц и десятков минут) в той же активной области. Обычно речь идёт о более мелких всплесках, чем последующая вспышка, в различных диапазонах излучения - радио, оптическом, ультрафиолетовом (УФ) или рентгеновском. Интерес к изучению предвестников связан с возможностью выявления физической связи между предвестниками и вспышками, что в перспективе может позволить прогнозировать последние. В нашей работе проанализированы наблюдения в рентгеновском и УФ диапазонах квазипериодических предвестников мощной солнечной вспышки 14 декабря 2024 года. Мы показали, что рентгеновское излучение предвестников можно объяснить остыванием горячей тепловой плазмы в корональных магнитных петлях. При этом магнитное поле на уровне фотосферы, измеренное в областях энерговыделения, показывает плавный спад. Это позволяет предположить, что квазипериодичность и сама величина периода предвспышечных пульсаций объясняется тем, что свободная магнитная энергия может накапливаться в токовом слое лишь до определённой величины, после чего происходит её высвобождение в виде очередного предвестника (всплеска). Так происходит, пока вся магнитная конфигурация не теряет устойчивость и не происходит мощная вспышка и корональный выброс массы.</w:t>
      </w:r>
    </w:p>
    <w:p w14:paraId="7336F432" w14:textId="6E3A713D" w:rsidR="00743845" w:rsidRPr="00743845" w:rsidRDefault="00743845" w:rsidP="00743845">
      <w:pPr>
        <w:rPr>
          <w:lang w:val="en-US"/>
        </w:rPr>
      </w:pPr>
      <w:r w:rsidRPr="00743845">
        <w:rPr>
          <w:lang w:val="en-US"/>
        </w:rPr>
        <w:t>Pulsating X-ray Precursors of a Powerful Solar Flare: Evidence of Quasi-Periodic Reconnection Leading to a Flux-Rope Eruption.  Zimovets I.V., Nizamov B. A., Sharykin I.N., Gan W.Q. Cosmic Research, Volume 63, Issue 5, pp. 476-505</w:t>
      </w:r>
    </w:p>
    <w:p w14:paraId="37E124DE" w14:textId="77777777" w:rsidR="00042F66" w:rsidRPr="00042F66" w:rsidRDefault="00042F66"/>
    <w:p w14:paraId="34E94689" w14:textId="77777777" w:rsidR="007C2B98" w:rsidRDefault="007C2B98">
      <w:pPr>
        <w:rPr>
          <w:b/>
          <w:bCs/>
        </w:rPr>
      </w:pPr>
      <w:r>
        <w:rPr>
          <w:b/>
          <w:bCs/>
        </w:rPr>
        <w:br w:type="page"/>
      </w:r>
    </w:p>
    <w:p w14:paraId="33F05E6A" w14:textId="11EF534D" w:rsidR="00CF2970" w:rsidRDefault="00CF2970">
      <w:pPr>
        <w:rPr>
          <w:b/>
          <w:bCs/>
        </w:rPr>
      </w:pPr>
      <w:r w:rsidRPr="00CF2970">
        <w:rPr>
          <w:b/>
          <w:bCs/>
        </w:rPr>
        <w:lastRenderedPageBreak/>
        <w:t>С.А. Ламзин</w:t>
      </w:r>
      <w:bookmarkStart w:id="0" w:name="_GoBack"/>
      <w:bookmarkEnd w:id="0"/>
      <w:r w:rsidRPr="00CF2970">
        <w:rPr>
          <w:b/>
          <w:bCs/>
        </w:rPr>
        <w:t>, М.А. Бурлак, А.В. Додин, А.В. Жарова, Н.П. Иконникова, В.А. Кирюхина, Д.А. Лашин, Б.С. Сафонов, И.А. Страхов, А.М. Татарников, А.А. Татарников, С.Г. Желтоухов, К.Н. Гранкин</w:t>
      </w:r>
      <w:r>
        <w:rPr>
          <w:b/>
          <w:bCs/>
        </w:rPr>
        <w:t xml:space="preserve"> (КрАО РАН)</w:t>
      </w:r>
      <w:r w:rsidRPr="00CF2970">
        <w:rPr>
          <w:b/>
          <w:bCs/>
        </w:rPr>
        <w:t>,</w:t>
      </w:r>
      <w:r>
        <w:rPr>
          <w:b/>
          <w:bCs/>
        </w:rPr>
        <w:t xml:space="preserve"> Н.В.</w:t>
      </w:r>
      <w:r w:rsidRPr="00CF2970">
        <w:rPr>
          <w:b/>
          <w:bCs/>
        </w:rPr>
        <w:t xml:space="preserve"> Емельянов</w:t>
      </w:r>
    </w:p>
    <w:p w14:paraId="30074AAE" w14:textId="13A77CA4" w:rsidR="001F6F81" w:rsidRPr="00F50A76" w:rsidRDefault="0091767D">
      <w:pPr>
        <w:rPr>
          <w:b/>
          <w:bCs/>
        </w:rPr>
      </w:pPr>
      <w:r w:rsidRPr="00F50A76">
        <w:rPr>
          <w:b/>
          <w:bCs/>
        </w:rPr>
        <w:t>«</w:t>
      </w:r>
      <w:r w:rsidR="00CF2970" w:rsidRPr="00CF2970">
        <w:rPr>
          <w:b/>
          <w:bCs/>
        </w:rPr>
        <w:t>Джеты и молодые эруптивные звезды - новости из КГО</w:t>
      </w:r>
      <w:r w:rsidRPr="00F50A76">
        <w:rPr>
          <w:b/>
          <w:bCs/>
        </w:rPr>
        <w:t>»</w:t>
      </w:r>
    </w:p>
    <w:p w14:paraId="62F60DEC" w14:textId="14810242" w:rsidR="00042F66" w:rsidRDefault="00042F66"/>
    <w:p w14:paraId="66FF36AC" w14:textId="77777777" w:rsidR="007C2B98" w:rsidRDefault="007C2B98">
      <w:pPr>
        <w:rPr>
          <w:b/>
          <w:bCs/>
        </w:rPr>
      </w:pPr>
      <w:r>
        <w:rPr>
          <w:b/>
          <w:bCs/>
        </w:rPr>
        <w:br w:type="page"/>
      </w:r>
    </w:p>
    <w:p w14:paraId="18E5551F" w14:textId="21883BC2" w:rsidR="00CF2970" w:rsidRDefault="00CF2970" w:rsidP="00042F66">
      <w:pPr>
        <w:rPr>
          <w:b/>
          <w:bCs/>
        </w:rPr>
      </w:pPr>
      <w:r w:rsidRPr="00CF2970">
        <w:rPr>
          <w:b/>
          <w:bCs/>
        </w:rPr>
        <w:lastRenderedPageBreak/>
        <w:t>Липунов В.М., Кузнецов А.С., Панченко И.Е., Жирков К.К., Балануца П.В., Антипов Г.А., Тюрина Н.В., Юдин А.Н.,</w:t>
      </w:r>
      <w:r>
        <w:rPr>
          <w:b/>
          <w:bCs/>
        </w:rPr>
        <w:t xml:space="preserve"> </w:t>
      </w:r>
      <w:r w:rsidRPr="00CF2970">
        <w:rPr>
          <w:b/>
          <w:bCs/>
        </w:rPr>
        <w:t>Горбовской Е.С., Часовников А.Р., Кечин Я.Ю., Власенко Д.М., Тополев В.В., Шилова М.М.</w:t>
      </w:r>
    </w:p>
    <w:p w14:paraId="2673F4AE" w14:textId="317C0750" w:rsidR="00042F66" w:rsidRPr="007C2B98" w:rsidRDefault="00042F66" w:rsidP="00042F66">
      <w:pPr>
        <w:rPr>
          <w:b/>
          <w:bCs/>
        </w:rPr>
      </w:pPr>
      <w:r w:rsidRPr="007C2B98">
        <w:rPr>
          <w:b/>
          <w:bCs/>
        </w:rPr>
        <w:t>«</w:t>
      </w:r>
      <w:r w:rsidR="00CF2970" w:rsidRPr="00CF2970">
        <w:rPr>
          <w:b/>
          <w:bCs/>
        </w:rPr>
        <w:t>Комплексное изучение гамма-всплесков и других астрофизических источников высоких энергий на телескопах Глобальной сети МАСТЕР МГУ</w:t>
      </w:r>
      <w:r w:rsidRPr="007C2B98">
        <w:rPr>
          <w:b/>
          <w:bCs/>
        </w:rPr>
        <w:t>»</w:t>
      </w:r>
    </w:p>
    <w:p w14:paraId="0F81F409" w14:textId="5A209CCF" w:rsidR="00CF2970" w:rsidRDefault="00CF2970" w:rsidP="00CF2970">
      <w:r>
        <w:t>Телескопы-роботы играют важную роль в обнаружении и исследовании источников гамма-всплесков, гравитационных волн, радио-всплесков, частиц сверхвысоких энергий, обеспечивая развитие современных представлений о механизмах излучения и распределения энергии в их спектре. Представлены результаты анализа экстремально яркого (E</w:t>
      </w:r>
      <w:r w:rsidRPr="009448EF">
        <w:rPr>
          <w:vertAlign w:val="subscript"/>
        </w:rPr>
        <w:t>iso</w:t>
      </w:r>
      <w:r>
        <w:t>&gt;10</w:t>
      </w:r>
      <w:r w:rsidRPr="009448EF">
        <w:rPr>
          <w:vertAlign w:val="superscript"/>
        </w:rPr>
        <w:t>54</w:t>
      </w:r>
      <w:r>
        <w:t>) многоимпульсного длинного GRB 230204B, обнаруженного гамма-детекторами обсерватории им.Э. Ферми (оптический источник открыт МАСТЕРом), cпектральный анализ показывает гибридный состав джета. Рассмотрена  двухкомпонентная модель джета для всплеска GRB 191221B. Представлен анализ длинного всплеска GRB  180728A, одного из ближайших (красное смещение z = 0,1171),  выделяющегося своей высокой E</w:t>
      </w:r>
      <w:r w:rsidRPr="009448EF">
        <w:rPr>
          <w:vertAlign w:val="subscript"/>
        </w:rPr>
        <w:t>γ, iso</w:t>
      </w:r>
      <w:r>
        <w:t xml:space="preserve"> ~ 2,5 * 10</w:t>
      </w:r>
      <w:r w:rsidRPr="009448EF">
        <w:rPr>
          <w:vertAlign w:val="superscript"/>
        </w:rPr>
        <w:t>51</w:t>
      </w:r>
      <w:r>
        <w:t xml:space="preserve"> erg, в отличие от большинства событий на z &lt;0,2 , оптический источник открыт МАСТЕРом через 22с, обсуждаются модели его  Сверхновой SN2018fip. Представлен анализ всплеска GRB 180128A. Эти исследования подчеркивают незаменимый вклад сетей телескопов-роботов в исследование ранней стадии излучения гамма-всплесков и получение уникальных характеристик джетов. Представлен анализ результатов наблюдений гравитационно-волновых событий, регистрируемых LIGO/Virgo детекторами в эпоху наблюдений О4 и связанных с нейтронными звездами. Обсуждаются пределы на оптическое излучение быстрых радио-всплесков. Представлены результаты наблюдений полей ошибок нейтринных алертов ANTARES, обнаружена переменность блазаров для ряда событий.</w:t>
      </w:r>
    </w:p>
    <w:p w14:paraId="2634E54D" w14:textId="77777777" w:rsidR="00CF2970" w:rsidRPr="00CF2970" w:rsidRDefault="00CF2970" w:rsidP="00CF2970">
      <w:pPr>
        <w:rPr>
          <w:lang w:val="en-US"/>
        </w:rPr>
      </w:pPr>
      <w:r w:rsidRPr="009448EF">
        <w:rPr>
          <w:lang w:val="en-US"/>
        </w:rPr>
        <w:t xml:space="preserve">Gupta R., Racusin J., Lipunov  V. et al. </w:t>
      </w:r>
      <w:r w:rsidRPr="00CF2970">
        <w:rPr>
          <w:lang w:val="en-US"/>
        </w:rPr>
        <w:t>Extremely Luminous Optical Afterglow of an Energetic Gamma-Ray Burst GRB 230204B,   The Astrophysical Journal, Vol. 997, Issue 2, id.24, 2026</w:t>
      </w:r>
    </w:p>
    <w:p w14:paraId="77787692" w14:textId="77777777" w:rsidR="00CF2970" w:rsidRPr="00CF2970" w:rsidRDefault="00CF2970" w:rsidP="00CF2970">
      <w:pPr>
        <w:rPr>
          <w:lang w:val="en-US"/>
        </w:rPr>
      </w:pPr>
      <w:r w:rsidRPr="00CF2970">
        <w:rPr>
          <w:lang w:val="en-US"/>
        </w:rPr>
        <w:t>Rossi et al. GRB 180728A and SN 2018fip: the nearest high-energy cosmological gamma-ray burst with an associated supernova. Astronomy &amp; Astrophysics, 2026.</w:t>
      </w:r>
    </w:p>
    <w:p w14:paraId="6933F234" w14:textId="3723F8B6" w:rsidR="00CF2970" w:rsidRPr="00CF2970" w:rsidRDefault="00CF2970" w:rsidP="00CF2970">
      <w:pPr>
        <w:rPr>
          <w:lang w:val="en-US"/>
        </w:rPr>
      </w:pPr>
      <w:r w:rsidRPr="00CF2970">
        <w:rPr>
          <w:lang w:val="en-US"/>
        </w:rPr>
        <w:t>Zhu Y.-M., Wang Y., Zhou H., Lipunov et al. A two-component jet model for the optical plateau in the afterglow of</w:t>
      </w:r>
      <w:r w:rsidR="009448EF" w:rsidRPr="009448EF">
        <w:rPr>
          <w:lang w:val="en-US"/>
        </w:rPr>
        <w:t xml:space="preserve"> </w:t>
      </w:r>
      <w:r w:rsidRPr="00CF2970">
        <w:rPr>
          <w:lang w:val="en-US"/>
        </w:rPr>
        <w:t>GRB 191221B, MNRAS, Vol. 527 (2), p. 1638-1647, 2024</w:t>
      </w:r>
    </w:p>
    <w:p w14:paraId="07EE5A02" w14:textId="77777777" w:rsidR="00CF2970" w:rsidRPr="00CF2970" w:rsidRDefault="00CF2970" w:rsidP="00CF2970">
      <w:pPr>
        <w:rPr>
          <w:lang w:val="en-US"/>
        </w:rPr>
      </w:pPr>
      <w:r w:rsidRPr="00CF2970">
        <w:rPr>
          <w:lang w:val="en-US"/>
        </w:rPr>
        <w:t>Trigg et al. GRB 180128A: A second magnetar giant flare candidate from the Sculptor Galaxy.  Astronomy &amp; Astrophysics, Vol. 687, id.A173, 2024</w:t>
      </w:r>
    </w:p>
    <w:p w14:paraId="361F1E28" w14:textId="77777777" w:rsidR="00CF2970" w:rsidRPr="00CF2970" w:rsidRDefault="00CF2970" w:rsidP="00CF2970">
      <w:pPr>
        <w:rPr>
          <w:lang w:val="en-US"/>
        </w:rPr>
      </w:pPr>
      <w:r w:rsidRPr="00CF2970">
        <w:rPr>
          <w:lang w:val="en-US"/>
        </w:rPr>
        <w:t>Lipunov et al. Gamma-ray bursts at extremely small fluence. New Astronomy Reviews, Vol. 99, id.101708</w:t>
      </w:r>
    </w:p>
    <w:p w14:paraId="16A0B3CC" w14:textId="77777777" w:rsidR="00CF2970" w:rsidRDefault="00CF2970" w:rsidP="00CF2970">
      <w:r w:rsidRPr="00CF2970">
        <w:rPr>
          <w:lang w:val="en-US"/>
        </w:rPr>
        <w:t xml:space="preserve">Albert et al. Results of the follow-up of ANTARES neutrino alerts. </w:t>
      </w:r>
      <w:r>
        <w:t>JCAP 2024</w:t>
      </w:r>
    </w:p>
    <w:p w14:paraId="4615BD25" w14:textId="5F411C10" w:rsidR="00CF2970" w:rsidRPr="00CF2970" w:rsidRDefault="00CF2970" w:rsidP="00CF2970">
      <w:pPr>
        <w:rPr>
          <w:lang w:val="en-US"/>
        </w:rPr>
      </w:pPr>
      <w:r w:rsidRPr="00CF2970">
        <w:rPr>
          <w:lang w:val="en-US"/>
        </w:rPr>
        <w:t>Chasovnikov A., Lipunov V. et al. “Some Limits on Optical Emission of Fast Radio Bursts” ARep, Vol.69, p.1196C 2025</w:t>
      </w:r>
    </w:p>
    <w:p w14:paraId="1E64BE27" w14:textId="19DFB144" w:rsidR="004D5AA6" w:rsidRDefault="004D5AA6" w:rsidP="00042F66">
      <w:pPr>
        <w:rPr>
          <w:lang w:val="en-US"/>
        </w:rPr>
      </w:pPr>
    </w:p>
    <w:p w14:paraId="17107DEE" w14:textId="77777777" w:rsidR="004D5AA6" w:rsidRDefault="004D5AA6">
      <w:pPr>
        <w:rPr>
          <w:b/>
          <w:bCs/>
          <w:lang w:val="en-US"/>
        </w:rPr>
      </w:pPr>
      <w:r>
        <w:rPr>
          <w:b/>
          <w:bCs/>
          <w:lang w:val="en-US"/>
        </w:rPr>
        <w:br w:type="page"/>
      </w:r>
    </w:p>
    <w:p w14:paraId="4E89659D" w14:textId="535B7C08" w:rsidR="009448EF" w:rsidRDefault="009448EF" w:rsidP="004D5AA6">
      <w:pPr>
        <w:rPr>
          <w:b/>
          <w:bCs/>
        </w:rPr>
      </w:pPr>
      <w:r w:rsidRPr="009448EF">
        <w:rPr>
          <w:b/>
          <w:bCs/>
        </w:rPr>
        <w:lastRenderedPageBreak/>
        <w:t>М.С. Пширков, Б.А. Низамов</w:t>
      </w:r>
    </w:p>
    <w:p w14:paraId="69826B88" w14:textId="5917E555" w:rsidR="009448EF" w:rsidRDefault="004D5AA6" w:rsidP="004D5AA6">
      <w:pPr>
        <w:rPr>
          <w:b/>
          <w:bCs/>
        </w:rPr>
      </w:pPr>
      <w:r w:rsidRPr="004D5AA6">
        <w:rPr>
          <w:b/>
          <w:bCs/>
        </w:rPr>
        <w:t>«</w:t>
      </w:r>
      <w:r w:rsidR="009448EF" w:rsidRPr="009448EF">
        <w:rPr>
          <w:b/>
          <w:bCs/>
        </w:rPr>
        <w:t>Обнаружение гамма-гало вокруг близлежащих галактик позднего типа</w:t>
      </w:r>
      <w:r w:rsidR="009448EF">
        <w:rPr>
          <w:b/>
          <w:bCs/>
        </w:rPr>
        <w:t>»</w:t>
      </w:r>
    </w:p>
    <w:p w14:paraId="32C80CCD" w14:textId="792410A9" w:rsidR="009448EF" w:rsidRDefault="009448EF" w:rsidP="009448EF">
      <w:r>
        <w:t>Различные теоретические модели предсказывают существование протяженных гамма-гало вокруг обычных галактик. Такие гало</w:t>
      </w:r>
      <w:r>
        <w:t>,</w:t>
      </w:r>
      <w:r>
        <w:t xml:space="preserve"> которые могут возникать в результате взаимодействия космических лучей, покидающи</w:t>
      </w:r>
      <w:r>
        <w:t>е</w:t>
      </w:r>
      <w:r>
        <w:t xml:space="preserve"> галактики, с окологалактической средой или вследствие аннигиляции или распада гипотетических частиц темной материи. Наблюдения M31, ближайшей массивной галактики, также указывают на существование протяженного гало.  В работе был проведён поиск гамма-излучения на энергиях выше 2 ГэВ от галактик в пределах 15 Мпк и была оценена его пространственная протяженность с использованием метода апертурной фотометрии. В выборке из 16 массивных галактик позднего типа был обнаружен статистически значимый избыток над фоновым уровнем: p-значение 3.7×10⁻⁷ при E&gt;2 ГэВ. </w:t>
      </w:r>
      <w:r>
        <w:t xml:space="preserve"> </w:t>
      </w:r>
      <w:r>
        <w:t xml:space="preserve">Наш анализ показал, что этот избыток можно лучше описывается моделью протяженного источника с радиусом </w:t>
      </w:r>
      <w:r>
        <w:rPr>
          <w:rFonts w:ascii="Cambria Math" w:hAnsi="Cambria Math" w:cs="Cambria Math"/>
        </w:rPr>
        <w:t>∼</w:t>
      </w:r>
      <w:r>
        <w:t>0.3</w:t>
      </w:r>
      <w:r>
        <w:rPr>
          <w:rFonts w:ascii="Calibri" w:hAnsi="Calibri" w:cs="Calibri"/>
        </w:rPr>
        <w:t>°</w:t>
      </w:r>
      <w:r>
        <w:t xml:space="preserve">, </w:t>
      </w:r>
      <w:r>
        <w:rPr>
          <w:rFonts w:ascii="Calibri" w:hAnsi="Calibri" w:cs="Calibri"/>
        </w:rPr>
        <w:t>а</w:t>
      </w:r>
      <w:r>
        <w:t xml:space="preserve"> </w:t>
      </w:r>
      <w:r>
        <w:rPr>
          <w:rFonts w:ascii="Calibri" w:hAnsi="Calibri" w:cs="Calibri"/>
        </w:rPr>
        <w:t>не</w:t>
      </w:r>
      <w:r>
        <w:t xml:space="preserve"> </w:t>
      </w:r>
      <w:r>
        <w:rPr>
          <w:rFonts w:ascii="Calibri" w:hAnsi="Calibri" w:cs="Calibri"/>
        </w:rPr>
        <w:t>точечного</w:t>
      </w:r>
      <w:r>
        <w:t xml:space="preserve">. </w:t>
      </w:r>
      <w:r>
        <w:rPr>
          <w:rFonts w:ascii="Calibri" w:hAnsi="Calibri" w:cs="Calibri"/>
        </w:rPr>
        <w:t>Для</w:t>
      </w:r>
      <w:r>
        <w:t xml:space="preserve"> D=15 </w:t>
      </w:r>
      <w:r>
        <w:rPr>
          <w:rFonts w:ascii="Calibri" w:hAnsi="Calibri" w:cs="Calibri"/>
        </w:rPr>
        <w:t>Мпк</w:t>
      </w:r>
      <w:r>
        <w:t xml:space="preserve"> </w:t>
      </w:r>
      <w:r>
        <w:rPr>
          <w:rFonts w:ascii="Calibri" w:hAnsi="Calibri" w:cs="Calibri"/>
        </w:rPr>
        <w:t>это</w:t>
      </w:r>
      <w:r>
        <w:t xml:space="preserve"> </w:t>
      </w:r>
      <w:r>
        <w:rPr>
          <w:rFonts w:ascii="Calibri" w:hAnsi="Calibri" w:cs="Calibri"/>
        </w:rPr>
        <w:t>соответствует</w:t>
      </w:r>
      <w:r>
        <w:t xml:space="preserve"> </w:t>
      </w:r>
      <w:r>
        <w:rPr>
          <w:rFonts w:ascii="Calibri" w:hAnsi="Calibri" w:cs="Calibri"/>
        </w:rPr>
        <w:t>физическому</w:t>
      </w:r>
      <w:r>
        <w:t xml:space="preserve"> </w:t>
      </w:r>
      <w:r>
        <w:rPr>
          <w:rFonts w:ascii="Calibri" w:hAnsi="Calibri" w:cs="Calibri"/>
        </w:rPr>
        <w:t>радиусу</w:t>
      </w:r>
      <w:r>
        <w:t xml:space="preserve"> </w:t>
      </w:r>
      <w:r>
        <w:rPr>
          <w:rFonts w:ascii="Calibri" w:hAnsi="Calibri" w:cs="Calibri"/>
        </w:rPr>
        <w:t>гало</w:t>
      </w:r>
      <w:r>
        <w:t xml:space="preserve"> r_h = 80 </w:t>
      </w:r>
      <w:r>
        <w:rPr>
          <w:rFonts w:ascii="Calibri" w:hAnsi="Calibri" w:cs="Calibri"/>
        </w:rPr>
        <w:t>кпк</w:t>
      </w:r>
      <w:r>
        <w:t xml:space="preserve">. </w:t>
      </w:r>
      <w:r>
        <w:rPr>
          <w:rFonts w:ascii="Calibri" w:hAnsi="Calibri" w:cs="Calibri"/>
        </w:rPr>
        <w:t>Напротив</w:t>
      </w:r>
      <w:r>
        <w:t xml:space="preserve">, </w:t>
      </w:r>
      <w:r>
        <w:rPr>
          <w:rFonts w:ascii="Calibri" w:hAnsi="Calibri" w:cs="Calibri"/>
        </w:rPr>
        <w:t>шесть</w:t>
      </w:r>
      <w:r>
        <w:t xml:space="preserve"> </w:t>
      </w:r>
      <w:r>
        <w:rPr>
          <w:rFonts w:ascii="Calibri" w:hAnsi="Calibri" w:cs="Calibri"/>
        </w:rPr>
        <w:t>галактик</w:t>
      </w:r>
      <w:r>
        <w:t xml:space="preserve"> </w:t>
      </w:r>
      <w:r>
        <w:rPr>
          <w:rFonts w:ascii="Calibri" w:hAnsi="Calibri" w:cs="Calibri"/>
        </w:rPr>
        <w:t>раннего</w:t>
      </w:r>
      <w:r>
        <w:t xml:space="preserve"> </w:t>
      </w:r>
      <w:r>
        <w:rPr>
          <w:rFonts w:ascii="Calibri" w:hAnsi="Calibri" w:cs="Calibri"/>
        </w:rPr>
        <w:t>типа</w:t>
      </w:r>
      <w:r>
        <w:t xml:space="preserve">, </w:t>
      </w:r>
      <w:r>
        <w:rPr>
          <w:rFonts w:ascii="Calibri" w:hAnsi="Calibri" w:cs="Calibri"/>
        </w:rPr>
        <w:t>удовлетворявших</w:t>
      </w:r>
      <w:r>
        <w:t xml:space="preserve"> </w:t>
      </w:r>
      <w:r>
        <w:rPr>
          <w:rFonts w:ascii="Calibri" w:hAnsi="Calibri" w:cs="Calibri"/>
        </w:rPr>
        <w:t>тем</w:t>
      </w:r>
      <w:r>
        <w:t xml:space="preserve"> </w:t>
      </w:r>
      <w:r>
        <w:rPr>
          <w:rFonts w:ascii="Calibri" w:hAnsi="Calibri" w:cs="Calibri"/>
        </w:rPr>
        <w:t>же</w:t>
      </w:r>
      <w:r>
        <w:t xml:space="preserve"> </w:t>
      </w:r>
      <w:r>
        <w:rPr>
          <w:rFonts w:ascii="Calibri" w:hAnsi="Calibri" w:cs="Calibri"/>
        </w:rPr>
        <w:t>критериям</w:t>
      </w:r>
      <w:r>
        <w:t xml:space="preserve"> </w:t>
      </w:r>
      <w:r>
        <w:rPr>
          <w:rFonts w:ascii="Calibri" w:hAnsi="Calibri" w:cs="Calibri"/>
        </w:rPr>
        <w:t>отбора</w:t>
      </w:r>
      <w:r>
        <w:t xml:space="preserve">, </w:t>
      </w:r>
      <w:r>
        <w:rPr>
          <w:rFonts w:ascii="Calibri" w:hAnsi="Calibri" w:cs="Calibri"/>
        </w:rPr>
        <w:t>не</w:t>
      </w:r>
      <w:r>
        <w:t xml:space="preserve"> </w:t>
      </w:r>
      <w:r>
        <w:rPr>
          <w:rFonts w:ascii="Calibri" w:hAnsi="Calibri" w:cs="Calibri"/>
        </w:rPr>
        <w:t>показали</w:t>
      </w:r>
      <w:r>
        <w:t xml:space="preserve"> </w:t>
      </w:r>
      <w:r>
        <w:rPr>
          <w:rFonts w:ascii="Calibri" w:hAnsi="Calibri" w:cs="Calibri"/>
        </w:rPr>
        <w:t>никакого</w:t>
      </w:r>
      <w:r>
        <w:t xml:space="preserve"> </w:t>
      </w:r>
      <w:r>
        <w:rPr>
          <w:rFonts w:ascii="Calibri" w:hAnsi="Calibri" w:cs="Calibri"/>
        </w:rPr>
        <w:t>избытка</w:t>
      </w:r>
      <w:r>
        <w:t>.</w:t>
      </w:r>
      <w:r>
        <w:t xml:space="preserve"> </w:t>
      </w:r>
      <w:r>
        <w:t>Разница между галактиками позднего и раннего типа, а также сравнительно неправильная форма протяженного источника, указывают на то, что это высокоэнергетическое излучение, скорее всего, вызвано взаимодействием космических лучей с окологалактической средой, а не процессами аннигиляции и распада темной материи.</w:t>
      </w:r>
    </w:p>
    <w:p w14:paraId="77A01F06" w14:textId="77777777" w:rsidR="009448EF" w:rsidRDefault="009448EF" w:rsidP="009448EF"/>
    <w:sectPr w:rsidR="009448EF" w:rsidSect="00E93953">
      <w:pgSz w:w="11906" w:h="16838"/>
      <w:pgMar w:top="1418"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1C3"/>
    <w:rsid w:val="000011D1"/>
    <w:rsid w:val="00042F66"/>
    <w:rsid w:val="00081710"/>
    <w:rsid w:val="000B75A0"/>
    <w:rsid w:val="000C363A"/>
    <w:rsid w:val="0017008C"/>
    <w:rsid w:val="001F6F81"/>
    <w:rsid w:val="00200279"/>
    <w:rsid w:val="002006B5"/>
    <w:rsid w:val="0027565F"/>
    <w:rsid w:val="00281BBA"/>
    <w:rsid w:val="002830C8"/>
    <w:rsid w:val="00346B4A"/>
    <w:rsid w:val="003E2045"/>
    <w:rsid w:val="00423D92"/>
    <w:rsid w:val="004D5AA6"/>
    <w:rsid w:val="005714EA"/>
    <w:rsid w:val="006220C9"/>
    <w:rsid w:val="006E1BE0"/>
    <w:rsid w:val="007343C8"/>
    <w:rsid w:val="00743845"/>
    <w:rsid w:val="007C1907"/>
    <w:rsid w:val="007C2B98"/>
    <w:rsid w:val="007C31CD"/>
    <w:rsid w:val="007F5E79"/>
    <w:rsid w:val="00821C55"/>
    <w:rsid w:val="0091767D"/>
    <w:rsid w:val="009448EF"/>
    <w:rsid w:val="009635BF"/>
    <w:rsid w:val="0098308F"/>
    <w:rsid w:val="00AF6638"/>
    <w:rsid w:val="00B21263"/>
    <w:rsid w:val="00B521C3"/>
    <w:rsid w:val="00B53D05"/>
    <w:rsid w:val="00B96625"/>
    <w:rsid w:val="00BE508C"/>
    <w:rsid w:val="00C47B64"/>
    <w:rsid w:val="00C9032C"/>
    <w:rsid w:val="00CF2970"/>
    <w:rsid w:val="00D50989"/>
    <w:rsid w:val="00DC10FB"/>
    <w:rsid w:val="00DD24F8"/>
    <w:rsid w:val="00DD669C"/>
    <w:rsid w:val="00DE32EC"/>
    <w:rsid w:val="00E93953"/>
    <w:rsid w:val="00EA6CBA"/>
    <w:rsid w:val="00ED2A40"/>
    <w:rsid w:val="00EE0086"/>
    <w:rsid w:val="00EE410B"/>
    <w:rsid w:val="00F50A76"/>
    <w:rsid w:val="00F710E7"/>
    <w:rsid w:val="00FB1613"/>
    <w:rsid w:val="00FB3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96425"/>
  <w15:chartTrackingRefBased/>
  <w15:docId w15:val="{5CBAD893-50C8-4526-B5AC-0F2633348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1029</Words>
  <Characters>5871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Second</cp:lastModifiedBy>
  <cp:revision>6</cp:revision>
  <dcterms:created xsi:type="dcterms:W3CDTF">2026-03-02T08:45:00Z</dcterms:created>
  <dcterms:modified xsi:type="dcterms:W3CDTF">2026-03-02T09:00:00Z</dcterms:modified>
</cp:coreProperties>
</file>